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7700" w:type="dxa"/>
        <w:tblCellSpacing w:w="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33333"/>
        <w:tblLayout w:type="autofit"/>
        <w:tblCellMar>
          <w:top w:w="15" w:type="dxa"/>
          <w:left w:w="15" w:type="dxa"/>
          <w:bottom w:w="15" w:type="dxa"/>
          <w:right w:w="15" w:type="dxa"/>
        </w:tblCellMar>
      </w:tblPr>
      <w:tblGrid>
        <w:gridCol w:w="3869"/>
        <w:gridCol w:w="577"/>
        <w:gridCol w:w="737"/>
        <w:gridCol w:w="746"/>
        <w:gridCol w:w="577"/>
        <w:gridCol w:w="737"/>
        <w:gridCol w:w="737"/>
        <w:gridCol w:w="9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33333"/>
          <w:tblCellMar>
            <w:top w:w="15" w:type="dxa"/>
            <w:left w:w="15" w:type="dxa"/>
            <w:bottom w:w="15" w:type="dxa"/>
            <w:right w:w="15" w:type="dxa"/>
          </w:tblCellMar>
        </w:tblPrEx>
        <w:trPr>
          <w:tblCellSpacing w:w="7" w:type="dxa"/>
        </w:trPr>
        <w:tc>
          <w:tcPr>
            <w:tcW w:w="3555" w:type="dxa"/>
            <w:vMerge w:val="restart"/>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专业学位名称</w:t>
            </w:r>
          </w:p>
        </w:tc>
        <w:tc>
          <w:tcPr>
            <w:tcW w:w="3585" w:type="dxa"/>
            <w:gridSpan w:val="3"/>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A类考生</w:t>
            </w:r>
            <w:r>
              <w:rPr>
                <w:rFonts w:hint="default" w:ascii="Helvetica" w:hAnsi="Helvetica" w:eastAsia="Helvetica" w:cs="Helvetica"/>
                <w:b/>
                <w:i w:val="0"/>
                <w:caps w:val="0"/>
                <w:color w:val="333333"/>
                <w:spacing w:val="0"/>
                <w:kern w:val="0"/>
                <w:sz w:val="21"/>
                <w:szCs w:val="21"/>
                <w:bdr w:val="none" w:color="auto" w:sz="0" w:space="0"/>
                <w:vertAlign w:val="superscript"/>
                <w:lang w:val="en-US" w:eastAsia="zh-CN" w:bidi="ar"/>
              </w:rPr>
              <w:t>①</w:t>
            </w:r>
          </w:p>
        </w:tc>
        <w:tc>
          <w:tcPr>
            <w:tcW w:w="3525" w:type="dxa"/>
            <w:gridSpan w:val="3"/>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B类考生</w:t>
            </w:r>
            <w:r>
              <w:rPr>
                <w:rFonts w:hint="default" w:ascii="Helvetica" w:hAnsi="Helvetica" w:eastAsia="Helvetica" w:cs="Helvetica"/>
                <w:b/>
                <w:i w:val="0"/>
                <w:caps w:val="0"/>
                <w:color w:val="333333"/>
                <w:spacing w:val="0"/>
                <w:kern w:val="0"/>
                <w:sz w:val="21"/>
                <w:szCs w:val="21"/>
                <w:bdr w:val="none" w:color="auto" w:sz="0" w:space="0"/>
                <w:vertAlign w:val="superscript"/>
                <w:lang w:val="en-US" w:eastAsia="zh-CN" w:bidi="ar"/>
              </w:rPr>
              <w:t>②</w:t>
            </w:r>
          </w:p>
        </w:tc>
        <w:tc>
          <w:tcPr>
            <w:tcW w:w="4155" w:type="dxa"/>
            <w:vMerge w:val="restart"/>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3555" w:type="dxa"/>
            <w:vMerge w:val="continue"/>
            <w:shd w:val="clear" w:color="auto" w:fill="F2F2F2"/>
            <w:tcMar>
              <w:top w:w="60" w:type="dxa"/>
              <w:left w:w="60" w:type="dxa"/>
              <w:bottom w:w="60" w:type="dxa"/>
              <w:right w:w="60" w:type="dxa"/>
            </w:tcMar>
            <w:vAlign w:val="center"/>
          </w:tcPr>
          <w:p>
            <w:pPr>
              <w:jc w:val="center"/>
              <w:rPr>
                <w:rFonts w:hint="default" w:ascii="Helvetica" w:hAnsi="Helvetica" w:eastAsia="Helvetica" w:cs="Helvetica"/>
                <w:b/>
                <w:i w:val="0"/>
                <w:caps w:val="0"/>
                <w:color w:val="333333"/>
                <w:spacing w:val="0"/>
                <w:sz w:val="21"/>
                <w:szCs w:val="21"/>
              </w:rPr>
            </w:pPr>
          </w:p>
        </w:tc>
        <w:tc>
          <w:tcPr>
            <w:tcW w:w="1155" w:type="dxa"/>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总分</w:t>
            </w:r>
          </w:p>
        </w:tc>
        <w:tc>
          <w:tcPr>
            <w:tcW w:w="1185" w:type="dxa"/>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单科（满分</w:t>
            </w:r>
            <w:r>
              <w:rPr>
                <w:rFonts w:hint="default" w:ascii="Helvetica" w:hAnsi="Helvetica" w:eastAsia="Helvetica" w:cs="Helvetica"/>
                <w:b/>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b/>
                <w:i w:val="0"/>
                <w:caps w:val="0"/>
                <w:color w:val="333333"/>
                <w:spacing w:val="0"/>
                <w:kern w:val="0"/>
                <w:sz w:val="21"/>
                <w:szCs w:val="21"/>
                <w:bdr w:val="none" w:color="auto" w:sz="0" w:space="0"/>
                <w:lang w:val="en-US" w:eastAsia="zh-CN" w:bidi="ar"/>
              </w:rPr>
              <w:t>=100分）</w:t>
            </w:r>
          </w:p>
        </w:tc>
        <w:tc>
          <w:tcPr>
            <w:tcW w:w="1185" w:type="dxa"/>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单科（满分</w:t>
            </w:r>
            <w:r>
              <w:rPr>
                <w:rFonts w:hint="default" w:ascii="Helvetica" w:hAnsi="Helvetica" w:eastAsia="Helvetica" w:cs="Helvetica"/>
                <w:b/>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b/>
                <w:i w:val="0"/>
                <w:caps w:val="0"/>
                <w:color w:val="333333"/>
                <w:spacing w:val="0"/>
                <w:kern w:val="0"/>
                <w:sz w:val="21"/>
                <w:szCs w:val="21"/>
                <w:bdr w:val="none" w:color="auto" w:sz="0" w:space="0"/>
                <w:lang w:val="en-US" w:eastAsia="zh-CN" w:bidi="ar"/>
              </w:rPr>
              <w:t>&gt;100分）</w:t>
            </w:r>
          </w:p>
        </w:tc>
        <w:tc>
          <w:tcPr>
            <w:tcW w:w="1155" w:type="dxa"/>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总分</w:t>
            </w:r>
          </w:p>
        </w:tc>
        <w:tc>
          <w:tcPr>
            <w:tcW w:w="1185" w:type="dxa"/>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单科（满分</w:t>
            </w:r>
            <w:r>
              <w:rPr>
                <w:rFonts w:hint="default" w:ascii="Helvetica" w:hAnsi="Helvetica" w:eastAsia="Helvetica" w:cs="Helvetica"/>
                <w:b/>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b/>
                <w:i w:val="0"/>
                <w:caps w:val="0"/>
                <w:color w:val="333333"/>
                <w:spacing w:val="0"/>
                <w:kern w:val="0"/>
                <w:sz w:val="21"/>
                <w:szCs w:val="21"/>
                <w:bdr w:val="none" w:color="auto" w:sz="0" w:space="0"/>
                <w:lang w:val="en-US" w:eastAsia="zh-CN" w:bidi="ar"/>
              </w:rPr>
              <w:t>=100分）</w:t>
            </w:r>
          </w:p>
        </w:tc>
        <w:tc>
          <w:tcPr>
            <w:tcW w:w="1185" w:type="dxa"/>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单科（满分</w:t>
            </w:r>
            <w:r>
              <w:rPr>
                <w:rFonts w:hint="default" w:ascii="Helvetica" w:hAnsi="Helvetica" w:eastAsia="Helvetica" w:cs="Helvetica"/>
                <w:b/>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b/>
                <w:i w:val="0"/>
                <w:caps w:val="0"/>
                <w:color w:val="333333"/>
                <w:spacing w:val="0"/>
                <w:kern w:val="0"/>
                <w:sz w:val="21"/>
                <w:szCs w:val="21"/>
                <w:bdr w:val="none" w:color="auto" w:sz="0" w:space="0"/>
                <w:lang w:val="en-US" w:eastAsia="zh-CN" w:bidi="ar"/>
              </w:rPr>
              <w:t>&gt;100分）</w:t>
            </w:r>
          </w:p>
        </w:tc>
        <w:tc>
          <w:tcPr>
            <w:tcW w:w="4155" w:type="dxa"/>
            <w:vMerge w:val="continue"/>
            <w:shd w:val="clear" w:color="auto" w:fill="F2F2F2"/>
            <w:tcMar>
              <w:top w:w="60" w:type="dxa"/>
              <w:left w:w="60" w:type="dxa"/>
              <w:bottom w:w="60" w:type="dxa"/>
              <w:right w:w="60" w:type="dxa"/>
            </w:tcMar>
            <w:vAlign w:val="center"/>
          </w:tcPr>
          <w:p>
            <w:pPr>
              <w:jc w:val="center"/>
              <w:rPr>
                <w:rFonts w:hint="default" w:ascii="Helvetica" w:hAnsi="Helvetica" w:eastAsia="Helvetica" w:cs="Helvetica"/>
                <w:b/>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金融、应用统计、税务、国际商务、保险、资产评估</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343</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48</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72</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333</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68</w:t>
            </w:r>
          </w:p>
        </w:tc>
        <w:tc>
          <w:tcPr>
            <w:tcW w:w="0" w:type="auto"/>
            <w:vMerge w:val="restart"/>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⑥临床医学[1051]、⑦口腔医学[1052]、⑧中医[1057]专业：</w:t>
            </w:r>
            <w:r>
              <w:rPr>
                <w:rFonts w:hint="default" w:ascii="Helvetica" w:hAnsi="Helvetica" w:eastAsia="Helvetica" w:cs="Helvetica"/>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caps w:val="0"/>
                <w:color w:val="333333"/>
                <w:spacing w:val="0"/>
                <w:kern w:val="0"/>
                <w:sz w:val="21"/>
                <w:szCs w:val="21"/>
                <w:bdr w:val="none" w:color="auto" w:sz="0" w:space="0"/>
                <w:lang w:val="en-US" w:eastAsia="zh-CN" w:bidi="ar"/>
              </w:rPr>
              <w:t>根据相关规定，“招生单位自主确定并对外公布报考本单位临床医学类专业学位硕士研究生进入复试的初试成绩要求，以及接受报考其他单位临床医学类专业学位硕士研究生调剂的成绩要求。教育部划定临床医学类专业学位硕士研究生初试成绩基本要求供招生单位参考，同时作为报考临床医学类专业学位硕士研究生的考生调剂到其他专业的基本成绩要求。”</w:t>
            </w:r>
            <w:r>
              <w:rPr>
                <w:rFonts w:hint="default" w:ascii="Helvetica" w:hAnsi="Helvetica" w:eastAsia="Helvetica" w:cs="Helvetica"/>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caps w:val="0"/>
                <w:color w:val="333333"/>
                <w:spacing w:val="0"/>
                <w:kern w:val="0"/>
                <w:sz w:val="21"/>
                <w:szCs w:val="21"/>
                <w:bdr w:val="none" w:color="auto" w:sz="0" w:space="0"/>
                <w:lang w:val="en-US" w:eastAsia="zh-CN" w:bidi="ar"/>
              </w:rPr>
              <w:t>⑨同⑤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审计</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175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88</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165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39</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78</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法律(非法学)、法律(法学)、社会工作、警务</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325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46</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69</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315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43</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65</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教育、汉语国际教育</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331</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46</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69</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321</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43</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65</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应用心理</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331</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46</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138</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321</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43</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129</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体育</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277</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105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267</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32</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96</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翻译、新闻与传播、出版</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355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52</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78</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345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49</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74</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文物与博物馆</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324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132</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314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41</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123</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建筑学、城市规划、电子信息、机械、材料与化工、资源与环境、能源动力、土木水利、生物与医药、交通运输</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264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37</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56</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254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51</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农业、兽医、风景园林、林业</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253</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33</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50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243</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45</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临床医学</w:t>
            </w:r>
            <w:r>
              <w:rPr>
                <w:rFonts w:hint="default" w:ascii="Helvetica" w:hAnsi="Helvetica" w:eastAsia="Helvetica" w:cs="Helvetica"/>
                <w:i w:val="0"/>
                <w:caps w:val="0"/>
                <w:color w:val="333333"/>
                <w:spacing w:val="0"/>
                <w:kern w:val="0"/>
                <w:sz w:val="21"/>
                <w:szCs w:val="21"/>
                <w:bdr w:val="none" w:color="auto" w:sz="0" w:space="0"/>
                <w:vertAlign w:val="superscript"/>
                <w:lang w:val="en-US" w:eastAsia="zh-CN" w:bidi="ar"/>
              </w:rPr>
              <w:t>⑥</w:t>
            </w:r>
            <w:r>
              <w:rPr>
                <w:rFonts w:hint="default" w:ascii="Helvetica" w:hAnsi="Helvetica" w:eastAsia="Helvetica" w:cs="Helvetica"/>
                <w:i w:val="0"/>
                <w:caps w:val="0"/>
                <w:color w:val="333333"/>
                <w:spacing w:val="0"/>
                <w:kern w:val="0"/>
                <w:sz w:val="21"/>
                <w:szCs w:val="21"/>
                <w:bdr w:val="none" w:color="auto" w:sz="0" w:space="0"/>
                <w:lang w:val="en-US" w:eastAsia="zh-CN" w:bidi="ar"/>
              </w:rPr>
              <w:t>、口腔医学</w:t>
            </w:r>
            <w:r>
              <w:rPr>
                <w:rFonts w:hint="default" w:ascii="Helvetica" w:hAnsi="Helvetica" w:eastAsia="Helvetica" w:cs="Helvetica"/>
                <w:i w:val="0"/>
                <w:caps w:val="0"/>
                <w:color w:val="333333"/>
                <w:spacing w:val="0"/>
                <w:kern w:val="0"/>
                <w:sz w:val="21"/>
                <w:szCs w:val="21"/>
                <w:bdr w:val="none" w:color="auto" w:sz="0" w:space="0"/>
                <w:vertAlign w:val="superscript"/>
                <w:lang w:val="en-US" w:eastAsia="zh-CN" w:bidi="ar"/>
              </w:rPr>
              <w:t>⑦</w:t>
            </w:r>
            <w:r>
              <w:rPr>
                <w:rFonts w:hint="default" w:ascii="Helvetica" w:hAnsi="Helvetica" w:eastAsia="Helvetica" w:cs="Helvetica"/>
                <w:i w:val="0"/>
                <w:caps w:val="0"/>
                <w:color w:val="333333"/>
                <w:spacing w:val="0"/>
                <w:kern w:val="0"/>
                <w:sz w:val="21"/>
                <w:szCs w:val="21"/>
                <w:bdr w:val="none" w:color="auto" w:sz="0" w:space="0"/>
                <w:lang w:val="en-US" w:eastAsia="zh-CN" w:bidi="ar"/>
              </w:rPr>
              <w:t>、公共卫生、护理、药学、中药学</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300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42</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126</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290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39</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117</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中医</w:t>
            </w:r>
            <w:r>
              <w:rPr>
                <w:rFonts w:hint="default" w:ascii="Helvetica" w:hAnsi="Helvetica" w:eastAsia="Helvetica" w:cs="Helvetica"/>
                <w:i w:val="0"/>
                <w:caps w:val="0"/>
                <w:color w:val="333333"/>
                <w:spacing w:val="0"/>
                <w:kern w:val="0"/>
                <w:sz w:val="21"/>
                <w:szCs w:val="21"/>
                <w:bdr w:val="none" w:color="auto" w:sz="0" w:space="0"/>
                <w:vertAlign w:val="superscript"/>
                <w:lang w:val="en-US" w:eastAsia="zh-CN" w:bidi="ar"/>
              </w:rPr>
              <w:t>⑧</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300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41</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123</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290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38</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114</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军事</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265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37</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56</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255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51</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工商管理、公共管理、会计、旅游管理、图书情报、工程管理</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175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88</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165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39</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78</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艺术</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347</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38</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57</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337</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53</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享受少数民族照顾政策的考生</w:t>
            </w:r>
            <w:r>
              <w:rPr>
                <w:rFonts w:hint="default" w:ascii="Helvetica" w:hAnsi="Helvetica" w:eastAsia="Helvetica" w:cs="Helvetica"/>
                <w:i w:val="0"/>
                <w:caps w:val="0"/>
                <w:color w:val="333333"/>
                <w:spacing w:val="0"/>
                <w:kern w:val="0"/>
                <w:sz w:val="21"/>
                <w:szCs w:val="21"/>
                <w:bdr w:val="none" w:color="auto" w:sz="0" w:space="0"/>
                <w:vertAlign w:val="superscript"/>
                <w:lang w:val="en-US" w:eastAsia="zh-CN" w:bidi="ar"/>
              </w:rPr>
              <w:t>⑨</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248</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248</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45</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gridSpan w:val="7"/>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报考“少数民族高层次骨干人才计划”考生进入复试的初试成绩基本要求为总分不低于248分。</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bl>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0E1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2020-04-18T02:46:23Z</dcterms:created>
  <dc:creator>Administrator</dc:creator>
  <cp:lastModifiedBy>Administrator</cp:lastModifiedBy>
  <dcterms:modified xsi:type="dcterms:W3CDTF">2020-04-18T02:46:28Z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